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bCs/>
                <w:sz w:val="21"/>
                <w:szCs w:val="21"/>
              </w:rPr>
              <w:t>安徽恒源煤电股份有限公司钱营孜煤矿生产能力核定项目（385万吨/年）</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480" w:leftChars="150" w:firstLine="105" w:firstLineChars="5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firstLine="525" w:firstLineChars="25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7D5476"/>
    <w:rsid w:val="00820F2C"/>
    <w:rsid w:val="0089462F"/>
    <w:rsid w:val="00A84706"/>
    <w:rsid w:val="403871A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85</Words>
  <Characters>488</Characters>
  <Lines>4</Lines>
  <Paragraphs>1</Paragraphs>
  <TotalTime>0</TotalTime>
  <ScaleCrop>false</ScaleCrop>
  <LinksUpToDate>false</LinksUpToDate>
  <CharactersWithSpaces>572</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2022-03-07T09:27:00Z</dcterms:created>
  <dc:creator>君榕</dc:creator>
  <cp:lastModifiedBy>晨曦</cp:lastModifiedBy>
  <dcterms:modified xsi:type="dcterms:W3CDTF">2022-03-07T09:33:39Z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